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E0" w:rsidRPr="00E572E0" w:rsidRDefault="006B0F3E" w:rsidP="006B0F3E">
      <w:pPr>
        <w:shd w:val="clear" w:color="auto" w:fill="FFFFFF"/>
        <w:spacing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t>Uchwała Nr 24</w:t>
      </w:r>
      <w:r w:rsidR="00E572E0" w:rsidRPr="00E572E0"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t>/2015</w:t>
      </w:r>
      <w:r w:rsidR="00E572E0" w:rsidRPr="00E572E0"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br/>
        <w:t>Zarządu Związku Gmin Dolnej Odry</w:t>
      </w:r>
    </w:p>
    <w:p w:rsidR="00E572E0" w:rsidRPr="00E572E0" w:rsidRDefault="006B0F3E" w:rsidP="00E572E0">
      <w:pPr>
        <w:shd w:val="clear" w:color="auto" w:fill="FFFFFF"/>
        <w:spacing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t>z dnia 24 sierpnia</w:t>
      </w:r>
      <w:r w:rsidR="00E572E0" w:rsidRPr="00E572E0"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t xml:space="preserve"> 2015 r.</w:t>
      </w:r>
    </w:p>
    <w:p w:rsidR="00E572E0" w:rsidRDefault="00E572E0" w:rsidP="00E572E0">
      <w:pPr>
        <w:shd w:val="clear" w:color="auto" w:fill="FFFFFF"/>
        <w:spacing w:line="360" w:lineRule="atLeast"/>
        <w:jc w:val="center"/>
        <w:textAlignment w:val="baseline"/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  <w:t>  </w:t>
      </w:r>
    </w:p>
    <w:p w:rsidR="006B0F3E" w:rsidRDefault="006B0F3E" w:rsidP="00E572E0">
      <w:pPr>
        <w:shd w:val="clear" w:color="auto" w:fill="FFFFFF"/>
        <w:spacing w:line="360" w:lineRule="atLeast"/>
        <w:jc w:val="center"/>
        <w:textAlignment w:val="baseline"/>
        <w:rPr>
          <w:rFonts w:eastAsia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pl-PL"/>
        </w:rPr>
      </w:pPr>
    </w:p>
    <w:p w:rsidR="006B0F3E" w:rsidRPr="00E572E0" w:rsidRDefault="006B0F3E" w:rsidP="00E572E0">
      <w:pPr>
        <w:shd w:val="clear" w:color="auto" w:fill="FFFFFF"/>
        <w:spacing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</w:p>
    <w:p w:rsidR="00E572E0" w:rsidRPr="00E572E0" w:rsidRDefault="00E572E0" w:rsidP="00E572E0">
      <w:pPr>
        <w:shd w:val="clear" w:color="auto" w:fill="FFFFFF"/>
        <w:spacing w:line="240" w:lineRule="auto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w sprawie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powołania Komisji Przetargowej do przeprowadzenia przetargu nieograniczonego na „Odbiór i zagospodarowanie odpadów komunalnych </w:t>
      </w: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br/>
        <w:t>z nieruchomości zamieszkałych na terenie gmin położonych na terenie Związku Gmin Dolnej Odry z siedzibą w Chojnie”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   </w:t>
      </w:r>
    </w:p>
    <w:p w:rsidR="00E572E0" w:rsidRPr="00E572E0" w:rsidRDefault="00E572E0" w:rsidP="00E572E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       </w:t>
      </w:r>
    </w:p>
    <w:p w:rsidR="006B0F3E" w:rsidRDefault="00E572E0" w:rsidP="00E572E0">
      <w:pPr>
        <w:shd w:val="clear" w:color="auto" w:fill="FFFFFF"/>
        <w:spacing w:line="240" w:lineRule="auto"/>
        <w:ind w:firstLine="708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Na podstawie art. 19 ust. 1 i 2 ustawy z dnia 29 stycznia 2004 r. Prawo zamówień publicznych (tekst jednolity Dz. U. z 2013 r. poz. 907, poz. 984, poz. 1047, poz. 1473,  Dz.U. z 2014 r., poz. 423,poz. 768, poz. 811, poz. 915, poz. 1146, poz. 1232, z 2015 r. poz.349, poz. 478, poz. 605.)  oraz art. 73 ustawy z dnia 08 marca 1990  o samorządzie gminnym (tekst jednolity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shd w:val="clear" w:color="auto" w:fill="F9F9F9"/>
          <w:lang w:eastAsia="pl-PL"/>
        </w:rPr>
        <w:t>Dz. U. z 2013 r., poz. 594, poz. 645, poz. 1318;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 Dz. U. </w:t>
      </w:r>
      <w:r w:rsidR="006B0F3E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z 2014 r., poz. 379, poz. 1072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)</w:t>
      </w:r>
      <w:r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 </w:t>
      </w:r>
    </w:p>
    <w:p w:rsidR="006B0F3E" w:rsidRDefault="006B0F3E" w:rsidP="006B0F3E">
      <w:pPr>
        <w:shd w:val="clear" w:color="auto" w:fill="FFFFFF"/>
        <w:spacing w:line="240" w:lineRule="auto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</w:p>
    <w:p w:rsidR="00E572E0" w:rsidRDefault="00E572E0" w:rsidP="006B0F3E">
      <w:pPr>
        <w:shd w:val="clear" w:color="auto" w:fill="FFFFFF"/>
        <w:spacing w:line="240" w:lineRule="auto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Zarząd uchwala, co następuje: </w:t>
      </w:r>
    </w:p>
    <w:p w:rsidR="006B0F3E" w:rsidRPr="00E572E0" w:rsidRDefault="006B0F3E" w:rsidP="006B0F3E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</w:p>
    <w:p w:rsidR="00E572E0" w:rsidRPr="00E572E0" w:rsidRDefault="00E572E0" w:rsidP="00E572E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§1</w:t>
      </w:r>
    </w:p>
    <w:p w:rsid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6B0F3E" w:rsidRPr="00E572E0" w:rsidRDefault="006B0F3E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Powołuje się Komisję Przetargową w składzie: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6B0F3E" w:rsidRDefault="006B0F3E" w:rsidP="006B0F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left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  <w:r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Łukasz Podleśny</w:t>
      </w:r>
      <w:r w:rsidR="00E572E0" w:rsidRPr="006B0F3E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 –</w:t>
      </w:r>
      <w:r w:rsidR="00E572E0" w:rsidRPr="006B0F3E"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  <w:t> </w:t>
      </w:r>
      <w:r w:rsidR="00E572E0" w:rsidRPr="006B0F3E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Przewodniczący Komisji.</w:t>
      </w:r>
    </w:p>
    <w:p w:rsidR="006B0F3E" w:rsidRDefault="006B0F3E" w:rsidP="006B0F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left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  <w:r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Agnieszka Sobczyńska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 - członek Komisji</w:t>
      </w:r>
      <w:r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.</w:t>
      </w:r>
    </w:p>
    <w:p w:rsidR="006B0F3E" w:rsidRDefault="006B0F3E" w:rsidP="006B0F3E">
      <w:pPr>
        <w:pStyle w:val="Akapitzlist"/>
        <w:numPr>
          <w:ilvl w:val="0"/>
          <w:numId w:val="1"/>
        </w:numPr>
        <w:shd w:val="clear" w:color="auto" w:fill="FFFFFF"/>
        <w:spacing w:line="360" w:lineRule="atLeast"/>
        <w:jc w:val="left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  <w:r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Alicja Kasprzyk – członek Komisji.</w:t>
      </w:r>
    </w:p>
    <w:p w:rsidR="006B0F3E" w:rsidRPr="006B0F3E" w:rsidRDefault="006B0F3E" w:rsidP="006B0F3E">
      <w:pPr>
        <w:shd w:val="clear" w:color="auto" w:fill="FFFFFF"/>
        <w:spacing w:line="360" w:lineRule="atLeast"/>
        <w:jc w:val="left"/>
        <w:textAlignment w:val="baseline"/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</w:pP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§2</w:t>
      </w:r>
    </w:p>
    <w:p w:rsidR="006B0F3E" w:rsidRDefault="006B0F3E" w:rsidP="00E572E0">
      <w:pPr>
        <w:shd w:val="clear" w:color="auto" w:fill="FFFFFF"/>
        <w:spacing w:line="240" w:lineRule="auto"/>
        <w:jc w:val="center"/>
        <w:textAlignment w:val="baseline"/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</w:pPr>
    </w:p>
    <w:p w:rsidR="006B0F3E" w:rsidRPr="00E572E0" w:rsidRDefault="006B0F3E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pacing w:val="-4"/>
          <w:szCs w:val="24"/>
          <w:bdr w:val="none" w:sz="0" w:space="0" w:color="auto" w:frame="1"/>
          <w:lang w:eastAsia="pl-PL"/>
        </w:rPr>
        <w:t>1.</w:t>
      </w:r>
      <w:r w:rsidRPr="00E572E0">
        <w:rPr>
          <w:rFonts w:eastAsia="Times New Roman"/>
          <w:color w:val="000000" w:themeColor="text1"/>
          <w:spacing w:val="-4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pacing w:val="-4"/>
          <w:szCs w:val="24"/>
          <w:bdr w:val="none" w:sz="0" w:space="0" w:color="auto" w:frame="1"/>
          <w:lang w:eastAsia="pl-PL"/>
        </w:rPr>
        <w:t>Komisja Przetargowa przystępuje do wykonywania czynności niezwłocznie po otrzymaniu uchwały o powołaniu Komisji Przetargowej oraz materiałów umożliwiających przygotowanie projektów dokumentów niezbędnych do podjęcia czynności wymaganych przepisami o zamówieniach publicznych.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2.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Do zadań Komisji Przetargowej należy w szczególności:</w:t>
      </w:r>
    </w:p>
    <w:p w:rsidR="00E572E0" w:rsidRPr="00E572E0" w:rsidRDefault="00E572E0" w:rsidP="00E572E0">
      <w:pPr>
        <w:shd w:val="clear" w:color="auto" w:fill="FFFFFF"/>
        <w:spacing w:line="240" w:lineRule="auto"/>
        <w:ind w:left="714" w:hanging="364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1)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przeprowadzenie postępowania o udzielenie zamówienia publicznego zgodnie z przepisami ustawy Prawo zamówień publicznych (tj. Dz. U. z  2013 r. poz. 907 ze zmianami), zwanej dalej "ustawą </w:t>
      </w:r>
      <w:proofErr w:type="spellStart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Pzp</w:t>
      </w:r>
      <w:proofErr w:type="spellEnd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";</w:t>
      </w:r>
    </w:p>
    <w:p w:rsidR="00E572E0" w:rsidRPr="00E572E0" w:rsidRDefault="00E572E0" w:rsidP="00E572E0">
      <w:pPr>
        <w:shd w:val="clear" w:color="auto" w:fill="FFFFFF"/>
        <w:spacing w:line="240" w:lineRule="auto"/>
        <w:ind w:left="714" w:hanging="364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2)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ocena spełniania przez wykonawców warunków udziału w postępowaniu o udzielenie zamówienia publicznego oraz badanie i ocena ofert;</w:t>
      </w:r>
    </w:p>
    <w:p w:rsidR="00E572E0" w:rsidRPr="00E572E0" w:rsidRDefault="00E572E0" w:rsidP="00E572E0">
      <w:pPr>
        <w:shd w:val="clear" w:color="auto" w:fill="FFFFFF"/>
        <w:spacing w:line="240" w:lineRule="auto"/>
        <w:ind w:left="714" w:hanging="364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3)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poprawianie w ofertach omyłek, o których mowa w art. 87 ust. 2 ustawy </w:t>
      </w:r>
      <w:proofErr w:type="spellStart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Pzp</w:t>
      </w:r>
      <w:proofErr w:type="spellEnd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;</w:t>
      </w:r>
    </w:p>
    <w:p w:rsidR="00E572E0" w:rsidRPr="00E572E0" w:rsidRDefault="00E572E0" w:rsidP="00E572E0">
      <w:pPr>
        <w:shd w:val="clear" w:color="auto" w:fill="FFFFFF"/>
        <w:spacing w:line="240" w:lineRule="auto"/>
        <w:ind w:left="714" w:hanging="364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4)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przedstawianie Zarządowi propozycji wykluczenia wykonawcy, odrzucenia oferty oraz wyboru najkorzystniejszej oferty;</w:t>
      </w:r>
    </w:p>
    <w:p w:rsidR="00E572E0" w:rsidRPr="00E572E0" w:rsidRDefault="00E572E0" w:rsidP="00E572E0">
      <w:pPr>
        <w:shd w:val="clear" w:color="auto" w:fill="FFFFFF"/>
        <w:spacing w:line="240" w:lineRule="auto"/>
        <w:ind w:left="714" w:hanging="364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lastRenderedPageBreak/>
        <w:t>5)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występowanie do Zarządu z wnioskiem o unieważnienie postępowania, w zakresie o którym mowa w pkt 2).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§3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ind w:left="57" w:right="57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Komisja Przetargowa obraduje na posiedzeniach, które są zwoływane przez przewodniczącego Komisji Przetargowej w terminach zapewniających sprawny przebieg prac.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§4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1.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W sprawach spornych Komisja Przetargowa dokonuje rozstrzygnięć w głosowaniu zwykłą większością głosów. W przypadku równej liczby głosów rozstrzyga głos przewodniczącego Komisji Przetargowej.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2.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W przypadku, o którym mowa w ust. 1, członek Komisji Przetargowej nie może wstrzymać się od głosu, może natomiast żądać załączenia jego pisemnego stanowiska do protokołu.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§5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1.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Członkowie Komisji Przetargowej wykonują swoje zadania w sposób rzetelny i uczciwy, kierując się wyłącznie przepisami prawa, posiadaną wiedzą i doświadczeniem, działają zespołowo gwarantując bezstronność i obiektywizm postępowania.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2.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Komisja Przetargowa nie ma prawa ujawnić informacji, które stanowią tajemnicę prawnie chronioną,  w tym przede wszystkim informacji niejawnych, chronionych danych osobowych oraz tajemnic przedsiębiorstwa, zawartych w ofertach.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§6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1.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Członkowie Komisji Przetargowej, po ujawnieniu wykonawców ubiegających się lub zamierzających ubiegać się o udzielenie zamówienia publicznego, składają pisemne oświadczenie, że nie podlegają wyłączeniu z udziału w postępowaniu o treści wymaganej przepisami art. 17 ust. 2 ustawy </w:t>
      </w:r>
      <w:proofErr w:type="spellStart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Pzp</w:t>
      </w:r>
      <w:proofErr w:type="spellEnd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, z uwzględnieniem postanowień ust. 2.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2.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W przypadku ujawnienia w toku prowadzonego postępowania okoliczności, o których mowa w ust. 1, członek Komisji Przetargowej zobowiązany jest niezwłocznie, poinformować o tym na piśmie przewodniczącego Komisji Przetargowej.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3.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Przewodniczący Komisji Przetargowej informuje Zarząd o okolicznościach wskazanych w ust. 2, jak również o każdym przypadku niewywiązywania się przez członka Komisji Przetargowej z obowiązków przewidzianych przepisami ustawy </w:t>
      </w:r>
      <w:proofErr w:type="spellStart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Pzp</w:t>
      </w:r>
      <w:proofErr w:type="spellEnd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 oraz postanowieniami niniejszej uchwały.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4.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W przypadku, o którym mowa w ust. 2, Zarząd odwołuje członka Komisji Przetargowej.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5.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Czynności Komisji Przetargowej, jeżeli zostały dokonane z udziałem członka, o którym mowa w ust. 2, podlegają powtórzeniu, z zastrzeżeniem ust. 7, chyba że postępowanie powinno zostać unieważnione.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6.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Przepisu ust. 5 nie stosuje się do czynności otwarcia ofert oraz tych czynności faktycznych, które nie mają wpływu na wynik postępowania.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right="57" w:hanging="360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7.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Przepisy ust. 3–5 stosuje się odpowiednio, gdy członek Komisji Przetargowej zostanie wyłączony z powodu niezłożenia oświadczenia, o którym mowa w ust. 1, lub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br/>
        <w:t>w przypadku, gdy złoży oświadczenie niezgodne z prawdą.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hanging="360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8.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Przygotowanie projektów pism niezbędnych do przeprowadzenia postępowania, w tym m.in.: odpowiedzi na zadawane przez wykonawców pytania do treści SIWZ, 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lastRenderedPageBreak/>
        <w:t>zawiadomienia o wyborze najkorzystniejszej oferty oraz ogłoszenia o wyborze najkorzystniejszej oferty.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hanging="360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9.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Prowadzenie dokumentacji postępowania;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 w:hanging="360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10.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Sporządzanie protokołów z prac Komisji Przetargowej;</w:t>
      </w:r>
    </w:p>
    <w:p w:rsidR="00E572E0" w:rsidRPr="00E572E0" w:rsidRDefault="00E572E0" w:rsidP="00E572E0">
      <w:pPr>
        <w:shd w:val="clear" w:color="auto" w:fill="FFFFFF"/>
        <w:spacing w:line="240" w:lineRule="auto"/>
        <w:ind w:left="360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§7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ind w:left="57" w:right="57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pacing w:val="-4"/>
          <w:szCs w:val="24"/>
          <w:bdr w:val="none" w:sz="0" w:space="0" w:color="auto" w:frame="1"/>
          <w:lang w:eastAsia="pl-PL"/>
        </w:rPr>
        <w:t>Do zadań przewodniczącego Komisji Przetargowej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należy w szczególności</w:t>
      </w:r>
      <w:r w:rsidRPr="00E572E0">
        <w:rPr>
          <w:rFonts w:eastAsia="Times New Roman"/>
          <w:color w:val="000000" w:themeColor="text1"/>
          <w:spacing w:val="-4"/>
          <w:szCs w:val="24"/>
          <w:bdr w:val="none" w:sz="0" w:space="0" w:color="auto" w:frame="1"/>
          <w:lang w:eastAsia="pl-PL"/>
        </w:rPr>
        <w:t>: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right="57" w:hanging="375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1)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kierowanie pracami Komisji Przetargowej, w szczególności wyznaczanie terminów posiedzeń komisji, przekazywanie informacji o terminie i miejscu spotkania komisji oraz ich prowadzenie;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right="57" w:hanging="375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2)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poinformowanie członków Komisji Przetargowej o odpowiedzialności ciążącej na członkach komisji w przypadku naruszenia przepisów ustawy </w:t>
      </w:r>
      <w:proofErr w:type="spellStart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Pzp</w:t>
      </w:r>
      <w:proofErr w:type="spellEnd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, rozporządzeń lub niniejszej uchwały;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right="57" w:hanging="375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3)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podział prac między członków Komisji Przetargowej;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right="57" w:hanging="375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4)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nadzorowanie prawidłowego prowadzenia dokumentacji postępowania o udzielenie zamówienia publicznego;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right="57" w:hanging="375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5)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odebranie od członków Komisji Przetargowej oraz innych osób, wykonujących czynności związanych z postępowaniem o udzielenie zamówienia publicznego, oświadczeń o treści określonej w § 6 ust. 1;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hanging="375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6)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przygotowanie odpowiednich ogłoszeń publikowanych w Biuletynie Zamówień Publicznych, zamieszczanych na stronie internetowej i na tablicy ogłoszeń;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hanging="375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7)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uzyskanie na protokole ze spotkania Komisji Przetargowej podpisów jej członków;</w:t>
      </w:r>
    </w:p>
    <w:p w:rsidR="00E572E0" w:rsidRPr="00E572E0" w:rsidRDefault="00E572E0" w:rsidP="00E572E0">
      <w:pPr>
        <w:shd w:val="clear" w:color="auto" w:fill="FFFFFF"/>
        <w:spacing w:line="240" w:lineRule="auto"/>
        <w:ind w:left="375" w:hanging="375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8)</w:t>
      </w:r>
      <w:r w:rsidRPr="00E572E0">
        <w:rPr>
          <w:rFonts w:eastAsia="Times New Roman"/>
          <w:color w:val="000000" w:themeColor="text1"/>
          <w:sz w:val="14"/>
          <w:szCs w:val="14"/>
          <w:bdr w:val="none" w:sz="0" w:space="0" w:color="auto" w:frame="1"/>
          <w:lang w:eastAsia="pl-PL"/>
        </w:rPr>
        <w:t>      </w:t>
      </w: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zapewnienie zachowania formy pisemnej postępowania o udzielenie zamówienia publicznego.</w:t>
      </w:r>
    </w:p>
    <w:p w:rsidR="00E572E0" w:rsidRPr="00E572E0" w:rsidRDefault="00E572E0" w:rsidP="00E572E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 8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ind w:left="57" w:right="57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pacing w:val="-2"/>
          <w:szCs w:val="24"/>
          <w:bdr w:val="none" w:sz="0" w:space="0" w:color="auto" w:frame="1"/>
          <w:lang w:eastAsia="pl-PL"/>
        </w:rPr>
        <w:t>Zakończenie prac Komisji Przetargowej następuje z chwilą zawarcia umowy w sprawie zamówienia publicznego lub unieważnienia postępowania o udzielenie zamówienia publicznego.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 9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 xml:space="preserve">Wykonanie uchwały powierza się Przewodniczącemu Zarządu Związku Gmin Dolnej Odry </w:t>
      </w:r>
      <w:r w:rsidR="006B0F3E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br/>
      </w:r>
      <w:bookmarkStart w:id="0" w:name="_GoBack"/>
      <w:bookmarkEnd w:id="0"/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w Chojnie.</w:t>
      </w:r>
    </w:p>
    <w:p w:rsidR="00E572E0" w:rsidRPr="00E572E0" w:rsidRDefault="00E572E0" w:rsidP="00E572E0">
      <w:pPr>
        <w:shd w:val="clear" w:color="auto" w:fill="FFFFFF"/>
        <w:spacing w:line="240" w:lineRule="auto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§ 10</w:t>
      </w:r>
    </w:p>
    <w:p w:rsidR="00E572E0" w:rsidRPr="00E572E0" w:rsidRDefault="00E572E0" w:rsidP="00E572E0">
      <w:pPr>
        <w:shd w:val="clear" w:color="auto" w:fill="FFFFFF"/>
        <w:spacing w:line="240" w:lineRule="auto"/>
        <w:jc w:val="center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b/>
          <w:bCs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Uchwała wchodzi w życie z dniem podjęcia.</w:t>
      </w:r>
    </w:p>
    <w:p w:rsidR="00E572E0" w:rsidRPr="00E572E0" w:rsidRDefault="00E572E0" w:rsidP="00E572E0">
      <w:pPr>
        <w:shd w:val="clear" w:color="auto" w:fill="FFFFFF"/>
        <w:spacing w:line="240" w:lineRule="auto"/>
        <w:jc w:val="left"/>
        <w:textAlignment w:val="baseline"/>
        <w:rPr>
          <w:rFonts w:ascii="Arial" w:eastAsia="Times New Roman" w:hAnsi="Arial" w:cs="Arial"/>
          <w:color w:val="000000" w:themeColor="text1"/>
          <w:sz w:val="19"/>
          <w:szCs w:val="19"/>
          <w:lang w:eastAsia="pl-PL"/>
        </w:rPr>
      </w:pPr>
      <w:r w:rsidRPr="00E572E0">
        <w:rPr>
          <w:rFonts w:eastAsia="Times New Roman"/>
          <w:color w:val="000000" w:themeColor="text1"/>
          <w:szCs w:val="24"/>
          <w:bdr w:val="none" w:sz="0" w:space="0" w:color="auto" w:frame="1"/>
          <w:lang w:eastAsia="pl-PL"/>
        </w:rPr>
        <w:t> </w:t>
      </w:r>
    </w:p>
    <w:p w:rsidR="00601114" w:rsidRPr="00E572E0" w:rsidRDefault="00601114">
      <w:pPr>
        <w:rPr>
          <w:color w:val="000000" w:themeColor="text1"/>
        </w:rPr>
      </w:pPr>
    </w:p>
    <w:sectPr w:rsidR="00601114" w:rsidRPr="00E5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60967"/>
    <w:multiLevelType w:val="hybridMultilevel"/>
    <w:tmpl w:val="925EB692"/>
    <w:lvl w:ilvl="0" w:tplc="96C6CBC4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E0"/>
    <w:rsid w:val="000F6529"/>
    <w:rsid w:val="00132B71"/>
    <w:rsid w:val="00601114"/>
    <w:rsid w:val="006627D3"/>
    <w:rsid w:val="006B0F3E"/>
    <w:rsid w:val="00724412"/>
    <w:rsid w:val="00794F11"/>
    <w:rsid w:val="00CA3B56"/>
    <w:rsid w:val="00E572E0"/>
    <w:rsid w:val="00ED1B16"/>
    <w:rsid w:val="00F1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27F61-B352-4CA8-B320-97DF9AE7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B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B1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zgdo chojna</cp:lastModifiedBy>
  <cp:revision>3</cp:revision>
  <cp:lastPrinted>2015-10-30T11:06:00Z</cp:lastPrinted>
  <dcterms:created xsi:type="dcterms:W3CDTF">2015-11-25T07:11:00Z</dcterms:created>
  <dcterms:modified xsi:type="dcterms:W3CDTF">2017-10-20T10:00:00Z</dcterms:modified>
</cp:coreProperties>
</file>